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57" w:rsidRPr="00994457" w:rsidRDefault="00994457">
      <w:pPr>
        <w:rPr>
          <w:b/>
        </w:rPr>
      </w:pPr>
      <w:r w:rsidRPr="00994457">
        <w:rPr>
          <w:b/>
        </w:rPr>
        <w:t xml:space="preserve">The Exeter Mentor Curriculum Unit 1 (General Mentoring Development) </w:t>
      </w:r>
    </w:p>
    <w:p w:rsidR="00994457" w:rsidRDefault="00994457">
      <w:pPr>
        <w:rPr>
          <w:b/>
        </w:rPr>
      </w:pPr>
      <w:r w:rsidRPr="00994457">
        <w:rPr>
          <w:b/>
        </w:rPr>
        <w:t>Pre-Accreditation Matrix</w:t>
      </w:r>
    </w:p>
    <w:p w:rsidR="00CB1371" w:rsidRDefault="00CB1371">
      <w:pPr>
        <w:rPr>
          <w:b/>
        </w:rPr>
      </w:pPr>
    </w:p>
    <w:p w:rsidR="00CB1371" w:rsidRPr="00CB1371" w:rsidRDefault="00CB1371">
      <w:r w:rsidRPr="00CB1371">
        <w:t xml:space="preserve">Unit 1 consists of 10 hours of General Mentoring Development. Mentors completing the Exeter Mentor Curriculum will complete their 10 hours by completing 10 NASBTT Mentor Development Modules. </w:t>
      </w:r>
    </w:p>
    <w:p w:rsidR="00CB1371" w:rsidRPr="00CB1371" w:rsidRDefault="00CB1371"/>
    <w:p w:rsidR="00CB1371" w:rsidRPr="00CB1371" w:rsidRDefault="00CB1371">
      <w:r w:rsidRPr="00CB1371">
        <w:t>Mentors who have completed the ECF Mentor Curriculum or the NPQLTD will be able to pre-accredit up to six modules</w:t>
      </w:r>
      <w:r w:rsidR="009C5C4F">
        <w:t>/hours</w:t>
      </w:r>
      <w:r w:rsidRPr="00CB1371">
        <w:t xml:space="preserve"> as highlighted on the following matrix.</w:t>
      </w:r>
    </w:p>
    <w:p w:rsidR="00CB1371" w:rsidRPr="00CB1371" w:rsidRDefault="00CB1371"/>
    <w:p w:rsidR="00CB1371" w:rsidRPr="00CB1371" w:rsidRDefault="00CB1371">
      <w:r w:rsidRPr="00CB1371">
        <w:t xml:space="preserve">Mentors will be able to record these six hours </w:t>
      </w:r>
      <w:r w:rsidR="00D8744D">
        <w:t xml:space="preserve">plus </w:t>
      </w:r>
      <w:r w:rsidRPr="00CB1371">
        <w:t>the additional four hours completed via NASBTT on the I</w:t>
      </w:r>
      <w:r w:rsidR="00D8744D">
        <w:t xml:space="preserve">ndividual </w:t>
      </w:r>
      <w:r w:rsidRPr="00CB1371">
        <w:t>D</w:t>
      </w:r>
      <w:r w:rsidR="00D8744D">
        <w:t xml:space="preserve">evelopment </w:t>
      </w:r>
      <w:r w:rsidRPr="00CB1371">
        <w:t>P</w:t>
      </w:r>
      <w:r w:rsidR="00D8744D">
        <w:t>ortfolio (IDP)</w:t>
      </w:r>
      <w:r w:rsidRPr="00CB1371">
        <w:t xml:space="preserve"> once they access</w:t>
      </w:r>
      <w:r w:rsidR="00D8744D">
        <w:t xml:space="preserve"> this</w:t>
      </w:r>
      <w:r w:rsidRPr="00CB1371">
        <w:t xml:space="preserve"> from the autumn term 2024. </w:t>
      </w:r>
    </w:p>
    <w:p w:rsidR="00994457" w:rsidRDefault="00994457"/>
    <w:p w:rsidR="00994457" w:rsidRDefault="00994457">
      <w:bookmarkStart w:id="0" w:name="_GoBack"/>
      <w:bookmarkEnd w:id="0"/>
    </w:p>
    <w:tbl>
      <w:tblPr>
        <w:tblpPr w:leftFromText="180" w:rightFromText="180" w:vertAnchor="page" w:horzAnchor="margin" w:tblpXSpec="center" w:tblpY="520"/>
        <w:tblW w:w="11220" w:type="dxa"/>
        <w:tblLook w:val="04A0" w:firstRow="1" w:lastRow="0" w:firstColumn="1" w:lastColumn="0" w:noHBand="0" w:noVBand="1"/>
      </w:tblPr>
      <w:tblGrid>
        <w:gridCol w:w="2096"/>
        <w:gridCol w:w="1328"/>
        <w:gridCol w:w="1280"/>
        <w:gridCol w:w="1267"/>
        <w:gridCol w:w="1289"/>
        <w:gridCol w:w="1290"/>
        <w:gridCol w:w="1288"/>
        <w:gridCol w:w="1382"/>
      </w:tblGrid>
      <w:tr w:rsidR="00994457" w:rsidRPr="00A10C7B" w:rsidTr="00052AB3">
        <w:trPr>
          <w:trHeight w:val="84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lastRenderedPageBreak/>
              <w:t xml:space="preserve">NASBTT Mentor </w:t>
            </w:r>
            <w:r w:rsidR="00CB1371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 xml:space="preserve">Development </w:t>
            </w: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 xml:space="preserve">Modules </w:t>
            </w:r>
            <w: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 xml:space="preserve"> (1 hour equivalent)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NPQ - LEADING TEACHER DEVELOPMENT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ECF MENTOR TRAINING - TEACH FIRST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ECF MENTOR TRAINING - AMBITION INSTITUTE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ECF MENTOR TRAINING - EDT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ECF MENTOR TRAINING - BEST PRACTICE NETWORK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ECF MENTOR TRAINNG - UCL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ECF MENTOR TRAINNG - CAPITA</w:t>
            </w:r>
          </w:p>
        </w:tc>
      </w:tr>
      <w:tr w:rsidR="00994457" w:rsidRPr="00A10C7B" w:rsidTr="00052AB3">
        <w:trPr>
          <w:trHeight w:val="271"/>
        </w:trPr>
        <w:tc>
          <w:tcPr>
            <w:tcW w:w="1122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</w:p>
        </w:tc>
      </w:tr>
      <w:tr w:rsidR="00994457" w:rsidRPr="00A10C7B" w:rsidTr="00052AB3">
        <w:trPr>
          <w:trHeight w:val="2130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:rsidR="00994457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Understanding the CCF</w:t>
            </w:r>
          </w:p>
          <w:p w:rsidR="00994457" w:rsidRPr="00A10C7B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(compulsory)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hideMark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Part 1 of LTD Framework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'Participants will be effective teachers who apply a range of knowledge and skills to teaching, including those set out in the </w:t>
            </w:r>
            <w:r w:rsidRPr="00A10C7B">
              <w:rPr>
                <w:rFonts w:eastAsia="Times New Roman" w:cs="Calibri"/>
                <w:color w:val="000000" w:themeColor="text1"/>
                <w:sz w:val="13"/>
                <w:szCs w:val="13"/>
                <w:lang w:eastAsia="en-GB"/>
              </w:rPr>
              <w:t>Early Career Framework'</w:t>
            </w:r>
          </w:p>
          <w:p w:rsidR="00994457" w:rsidRPr="00A10C7B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Understand the ECF and the TF ECF programme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hideMark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Term 1 – Mentor Orientation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Conference 1 - Mentors will: Understand the ECF and implications for them and their school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A10C7B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hideMark/>
          </w:tcPr>
          <w:p w:rsidR="00994457" w:rsidRPr="00A10C7B" w:rsidRDefault="00994457" w:rsidP="00CB1371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Block 1 – Establishing a positive climate for learning</w:t>
            </w:r>
            <w:r w:rsidR="00CB1371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 </w:t>
            </w:r>
            <w:r w:rsidR="00CB1371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E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stablishing your mentor-mentee partnership. The origins of the ECF. The important role of mentors.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hideMark/>
          </w:tcPr>
          <w:p w:rsidR="00994457" w:rsidRPr="00A10C7B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– term 1a -Understand the ECF, ONSIDE mentoring model, the importance of the mentor, programme and curriculum, preparing to succeed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hideMark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Who your Lead Provider is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What the Early Career Framework is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A10C7B" w:rsidRDefault="00994457" w:rsidP="00CB1371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How the UCL Early Career Framework Programme supports Early Career Teachers (ECTs)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hideMark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To establish a  clear understanding of the Early Career Framework</w:t>
            </w:r>
          </w:p>
          <w:p w:rsidR="00994457" w:rsidRPr="00A10C7B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</w:tr>
      <w:tr w:rsidR="00994457" w:rsidRPr="00A10C7B" w:rsidTr="00CB1371">
        <w:trPr>
          <w:trHeight w:val="2514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 w:themeFill="accent2" w:themeFillTint="33"/>
            <w:vAlign w:val="center"/>
          </w:tcPr>
          <w:p w:rsidR="00994457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Mentoring deliberately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(compulsory)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 w:themeFill="accent2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LTD Framework: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that: 2.2, 2.3, 2.6, 2.7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how to: 2a, 2c, 2k, 2l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LTD Framework: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that: 2.8, 2.9, 3.4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how to: 3g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 w:themeFill="accent2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1 - Moving from novice to expert (seminar)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– half term 1a Mentoring to develop strong relationships (seminar).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– term 4 –Supporting with wellbeing and workload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recovery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 w:themeFill="accent2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Conference 1: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Understand the principles underpinning the programme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’Make sense of’ instructional coaching.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Reflect and plan to implement the programme from September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 w:themeFill="accent2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Term 2 Block 3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: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Using the instructional coaching method to support ECTs in the classroom.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Block 1: Establishing a positive climate for learning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Establishing your mentor-mentee partnership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 w:themeFill="accent2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1 -term 1b Understand the role of the mentor and using the ONSIDE mentoring model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Reflect on impact of mentoring model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</w:p>
          <w:p w:rsidR="00994457" w:rsidRPr="00CB0D2F" w:rsidRDefault="00994457" w:rsidP="00CB1371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 w:themeFill="accent2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An introduction to the key features of our approach to mentoring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Understanding the principles of ONSIDE mentoring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Understanding the role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 w:themeFill="accent2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Introduction to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mentor methodology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To understand how to structure an effective coaching conversation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C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oaching conversations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models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The role of self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-awareness in developing expertise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and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SDT</w:t>
            </w:r>
          </w:p>
        </w:tc>
      </w:tr>
      <w:tr w:rsidR="00994457" w:rsidRPr="00A10C7B" w:rsidTr="00CB1371">
        <w:trPr>
          <w:trHeight w:val="2074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 w:themeFill="accent6" w:themeFillTint="33"/>
            <w:vAlign w:val="center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 xml:space="preserve">Mentoring or coaching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 w:themeFill="accent6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LTD Framework:</w:t>
            </w:r>
          </w:p>
          <w:p w:rsidR="00994457" w:rsidRPr="00CB0D2F" w:rsidRDefault="00994457" w:rsidP="00052AB3">
            <w:pPr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that: 2.1, 2.2, 2.3, 2.5, 2.6, 2.7, 2.8, 2.9, 3.1, 3.2, 4.6, 4.8</w:t>
            </w:r>
          </w:p>
          <w:p w:rsidR="00994457" w:rsidRPr="00CB0D2F" w:rsidRDefault="00994457" w:rsidP="00052AB3">
            <w:pPr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how to: 2c, 2d, 2e, 2g, 2h, 3b, 3c, 3d, 3f, 3g, 3h, 3i, 3j, 3k, 3l, 3n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 w:themeFill="accent6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Year 1 - Instructional coaching and deliberate practice (seminar).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 w:themeFill="accent6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Conference 1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: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’Make sense of’ instructional coaching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Reflect and plan to implement the programme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 w:themeFill="accent6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Block 1: The important role of mentors.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Block 3: What is effective teaching? · apply it in the classroom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2: Coaching Practice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 w:themeFill="accent6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Mentor skills and knowledge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Deep understanding of mentoring skills, the ONSIDE model and mentoring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 w:themeFill="accent6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Educative mentoring and the role of the mentor.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Educative mentoring and learning conversations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Supporting ECT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s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through Practitioner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Inquiry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 w:themeFill="accent6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I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ntrod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uction to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mentor methodology.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nderstand how to identify the target with the highest impact on ECT development</w:t>
            </w:r>
          </w:p>
        </w:tc>
      </w:tr>
      <w:tr w:rsidR="00994457" w:rsidRPr="00A10C7B" w:rsidTr="00CB1371">
        <w:trPr>
          <w:trHeight w:val="1679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 w:themeFill="accent5" w:themeFillTint="33"/>
            <w:vAlign w:val="center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 xml:space="preserve">Deliberate Practice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 w:themeFill="accent5" w:themeFillTint="33"/>
          </w:tcPr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LTD Framework:</w:t>
            </w:r>
          </w:p>
          <w:p w:rsidR="00994457" w:rsidRPr="00CB0D2F" w:rsidRDefault="00994457" w:rsidP="00052AB3">
            <w:pPr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that: 2.1, 2.2, 2.3, 2.5, 2.6, 2.7, 2.8, 2.9, 3.1, 3.2, 4.6, 4.8</w:t>
            </w:r>
          </w:p>
          <w:p w:rsidR="00994457" w:rsidRPr="00CB0D2F" w:rsidRDefault="00994457" w:rsidP="00052AB3">
            <w:pPr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how to: 2c, 2d, 2e, 2g, 2h, 3b, 3c, 3d, 3f, 3g, 3h, 3i, 3j, 3k, 3l, 3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n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 w:themeFill="accent5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term 3 – Not all practice is equal. Understand the importance of deliberate practice in teacher development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 w:themeFill="accent5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1 - half term 3 or 4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Mentors build mental models of deliberate practice 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 w:themeFill="accent5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Half term 1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: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 Introducing Deliberate Practice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Half term 2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onwards: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Embedding Deliberate Practice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 w:themeFill="accent5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Module 1: enabling pupil learning,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In Year 2, inquiry-based research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 w:themeFill="accent5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FF0000"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 w:themeFill="accent5" w:themeFillTint="33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Introduction to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mentor methodology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Simulation of 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a deliberate practice session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</w:tr>
      <w:tr w:rsidR="00994457" w:rsidRPr="00A10C7B" w:rsidTr="00CB1371">
        <w:trPr>
          <w:trHeight w:val="1830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 w:themeFill="background2"/>
            <w:vAlign w:val="center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 xml:space="preserve">Observing your mentee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 w:themeFill="background2"/>
          </w:tcPr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LTD Framework: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that: 2.1, 2.2, 2.3, 2.5, 2.6, 2.7, 2.8, 2.9, 3.1, 3.2, 4.6, 4.8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how to: 2c, 2d, 2e, 2g, 2h,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3b, 3c, 3d, 3f, 3g, 3h, 3i, 3j, 3k, 3l, 3n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 w:themeFill="background2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Year 1 half term 1- improving Instruction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Year 1 – term 2a – Precise actions and shared language.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 w:themeFill="background2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Effective action steps and how to make them effective.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 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 w:themeFill="background2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Block 7: Establishing a positive climate for learning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 w:themeFill="background2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Year 2 – Understand the practitioner inquiry model and how this connects with the mentoring model.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 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Year 2 – term 3. Reflect on impact of mentoring across the programme 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 w:themeFill="background2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Module 3 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FF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How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observation can contribute to the development of 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an 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ECT. 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 w:themeFill="background2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Applying criteria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and identifying the highest leverage action step.</w:t>
            </w:r>
          </w:p>
          <w:p w:rsidR="00994457" w:rsidRPr="00CB0D2F" w:rsidRDefault="00994457" w:rsidP="00052AB3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CB1371">
            <w:pPr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C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o-construct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ing</w:t>
            </w:r>
            <w:r w:rsidR="00CB1371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 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success criteria that will support ECTs to meet their action step.</w:t>
            </w:r>
          </w:p>
        </w:tc>
      </w:tr>
      <w:tr w:rsidR="00994457" w:rsidRPr="00A10C7B" w:rsidTr="00CB1371">
        <w:trPr>
          <w:trHeight w:val="1823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FCE"/>
            <w:vAlign w:val="center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eastAsia="en-GB"/>
              </w:rPr>
              <w:t>Difficult conversations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FCE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LTD Framework: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that: 2.1, 2.2, 2.3, 2.5, 2.6, 2.7, 2.8, 2.9, 3.1, 3.2, 4.6, 4.8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Learn how to: 2c, 2d, 2e, 2g, 2h,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3b, 3c, 3d, 3f, 3g, 3h, 3i, 3j, 3k, 3l, 3n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FCE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Year 1 – term 5 Balancing support and challenge.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FCE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Practise scripting and running instructional coaching conversations to develop ECTs’ expertise.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Reflect and plan to implement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FCE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Block 6: A people profession.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Reflecting on the journey of your ECT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Beyond the ECF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FCE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Understand the role of the mentor in the practitioner inquiry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Understand the role of the mentor in the school visits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Reflect on impact of mentoring across the programme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FCE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OLC2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What should I challenge? When should I support? 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Developmental lesson observations. S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upport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ing </w:t>
            </w: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the ECT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.</w:t>
            </w:r>
          </w:p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 xml:space="preserve">What </w:t>
            </w:r>
            <w:r w:rsidRPr="00CB0D2F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does challenge mean and how do we use it?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FCE"/>
          </w:tcPr>
          <w:p w:rsidR="00994457" w:rsidRPr="00CB0D2F" w:rsidRDefault="00994457" w:rsidP="00052AB3">
            <w:pPr>
              <w:jc w:val="center"/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</w:pPr>
            <w:r w:rsidRPr="00A10C7B">
              <w:rPr>
                <w:rFonts w:eastAsia="Times New Roman" w:cs="Calibri"/>
                <w:color w:val="000000"/>
                <w:sz w:val="13"/>
                <w:szCs w:val="13"/>
                <w:lang w:eastAsia="en-GB"/>
              </w:rPr>
              <w:t>To consider challenges that ECTs might face in working through their ECF programme  and how coaching conversations support ECTs to stay on track</w:t>
            </w:r>
          </w:p>
        </w:tc>
      </w:tr>
      <w:tr w:rsidR="00994457" w:rsidRPr="00A10C7B" w:rsidTr="00052AB3">
        <w:trPr>
          <w:trHeight w:val="413"/>
        </w:trPr>
        <w:tc>
          <w:tcPr>
            <w:tcW w:w="11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4457" w:rsidRPr="00D2667A" w:rsidRDefault="00994457" w:rsidP="00CB1371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We will be working with schools, providers and the Teaching School Hubs to add to this matrix</w:t>
            </w:r>
            <w:r w:rsidR="00CB137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over 24/25 with a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particular</w:t>
            </w:r>
            <w:r w:rsidR="00CB137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focus on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mapping local providers</w:t>
            </w:r>
            <w:r w:rsidR="00CB137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’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mentoring curriculum to enable schools t</w:t>
            </w:r>
            <w:r w:rsidR="00CB137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o work with multiple providers and pre-accredit their learning. </w:t>
            </w:r>
          </w:p>
        </w:tc>
      </w:tr>
    </w:tbl>
    <w:p w:rsidR="00170BBC" w:rsidRDefault="00170BBC"/>
    <w:sectPr w:rsidR="00170BBC" w:rsidSect="00CB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57"/>
    <w:rsid w:val="00170BBC"/>
    <w:rsid w:val="00994457"/>
    <w:rsid w:val="009C5C4F"/>
    <w:rsid w:val="00CB1371"/>
    <w:rsid w:val="00D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25EA"/>
  <w15:chartTrackingRefBased/>
  <w15:docId w15:val="{E87B41DA-9E68-4A9F-8C34-F00B1214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5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952A59B94A441B167AEEBBEC60D92" ma:contentTypeVersion="18" ma:contentTypeDescription="Create a new document." ma:contentTypeScope="" ma:versionID="99f3866bfecca9f90e323698ad0f55a3">
  <xsd:schema xmlns:xsd="http://www.w3.org/2001/XMLSchema" xmlns:xs="http://www.w3.org/2001/XMLSchema" xmlns:p="http://schemas.microsoft.com/office/2006/metadata/properties" xmlns:ns2="6891a5b8-d17a-4ec5-824b-b4a51c4a1738" xmlns:ns3="5c02da51-e8f4-493a-af2f-4fa0f5b4441a" targetNamespace="http://schemas.microsoft.com/office/2006/metadata/properties" ma:root="true" ma:fieldsID="2b39b95f9d93c2a5468b9a0513738139" ns2:_="" ns3:_="">
    <xsd:import namespace="6891a5b8-d17a-4ec5-824b-b4a51c4a1738"/>
    <xsd:import namespace="5c02da51-e8f4-493a-af2f-4fa0f5b44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ar" minOccurs="0"/>
                <xsd:element ref="ns2:Program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a5b8-d17a-4ec5-824b-b4a51c4a1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Programme" ma:index="13" nillable="true" ma:displayName="Programme" ma:format="Dropdown" ma:internalName="Programm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da51-e8f4-493a-af2f-4fa0f5b44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817ff0-2ee0-4a5a-a686-ecb8c5936fcd}" ma:internalName="TaxCatchAll" ma:showField="CatchAllData" ma:web="5c02da51-e8f4-493a-af2f-4fa0f5b44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891a5b8-d17a-4ec5-824b-b4a51c4a1738" xsi:nil="true"/>
    <Programme xmlns="6891a5b8-d17a-4ec5-824b-b4a51c4a1738" xsi:nil="true"/>
    <TaxCatchAll xmlns="5c02da51-e8f4-493a-af2f-4fa0f5b4441a" xsi:nil="true"/>
    <lcf76f155ced4ddcb4097134ff3c332f xmlns="6891a5b8-d17a-4ec5-824b-b4a51c4a1738">
      <Terms xmlns="http://schemas.microsoft.com/office/infopath/2007/PartnerControls"/>
    </lcf76f155ced4ddcb4097134ff3c332f>
    <SharedWithUsers xmlns="5c02da51-e8f4-493a-af2f-4fa0f5b4441a">
      <UserInfo>
        <DisplayName>Vague, Jon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60A549-DA4F-4147-8F5A-0EA6CB961755}"/>
</file>

<file path=customXml/itemProps2.xml><?xml version="1.0" encoding="utf-8"?>
<ds:datastoreItem xmlns:ds="http://schemas.openxmlformats.org/officeDocument/2006/customXml" ds:itemID="{AC49E2FA-8797-4C92-8CCA-977892142490}"/>
</file>

<file path=customXml/itemProps3.xml><?xml version="1.0" encoding="utf-8"?>
<ds:datastoreItem xmlns:ds="http://schemas.openxmlformats.org/officeDocument/2006/customXml" ds:itemID="{F6D2EB3F-67A4-489B-86BF-30703751E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Greaves, Corinne</dc:creator>
  <cp:keywords/>
  <dc:description/>
  <cp:lastModifiedBy>Greaves, Corinne</cp:lastModifiedBy>
  <cp:revision>2</cp:revision>
  <dcterms:created xsi:type="dcterms:W3CDTF">2024-07-02T09:06:00Z</dcterms:created>
  <dcterms:modified xsi:type="dcterms:W3CDTF">2024-07-02T09:28:00Z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0x010100154952A59B94A441B167AEEBBEC60D92</vt:lpwstr>
  </property>
</Properties>
</file>